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A3" w:rsidRPr="007872A3" w:rsidRDefault="007872A3" w:rsidP="00B7566B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7872A3">
        <w:rPr>
          <w:rFonts w:ascii="Arial" w:hAnsi="Arial" w:cs="Arial"/>
          <w:b/>
          <w:sz w:val="20"/>
          <w:szCs w:val="20"/>
          <w:lang w:val="en-US"/>
        </w:rPr>
        <w:t>TW3: Annual General Mandate</w:t>
      </w:r>
    </w:p>
    <w:p w:rsidR="00CE390D" w:rsidRPr="00B7566B" w:rsidRDefault="006038B5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On April 24, 2017, Central Pharmaceutical Joint Stock Company </w:t>
      </w:r>
      <w:r w:rsidR="00CA079F" w:rsidRPr="00B7566B">
        <w:rPr>
          <w:rFonts w:ascii="Arial" w:hAnsi="Arial" w:cs="Arial"/>
          <w:sz w:val="20"/>
          <w:szCs w:val="20"/>
          <w:lang w:val="en-US"/>
        </w:rPr>
        <w:t xml:space="preserve">no. 3 </w:t>
      </w:r>
      <w:r w:rsidR="007872A3">
        <w:rPr>
          <w:rFonts w:ascii="Arial" w:hAnsi="Arial" w:cs="Arial"/>
          <w:sz w:val="20"/>
          <w:szCs w:val="20"/>
          <w:lang w:val="en-US"/>
        </w:rPr>
        <w:t xml:space="preserve">announced the </w:t>
      </w:r>
      <w:r w:rsidR="007872A3" w:rsidRPr="007872A3">
        <w:rPr>
          <w:rFonts w:ascii="Arial" w:hAnsi="Arial" w:cs="Arial"/>
          <w:sz w:val="20"/>
          <w:szCs w:val="20"/>
          <w:lang w:val="en-US"/>
        </w:rPr>
        <w:t>Annual General Mandate</w:t>
      </w:r>
      <w:r w:rsidR="007872A3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6038B5" w:rsidRPr="00B7566B" w:rsidRDefault="007872A3" w:rsidP="00B7566B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Article 1. A</w:t>
      </w:r>
      <w:r w:rsidR="006038B5" w:rsidRPr="00B7566B">
        <w:rPr>
          <w:rFonts w:ascii="Arial" w:hAnsi="Arial" w:cs="Arial"/>
          <w:b/>
          <w:sz w:val="20"/>
          <w:szCs w:val="20"/>
          <w:lang w:val="en-US"/>
        </w:rPr>
        <w:t>pprove report on operations of Board of Directors in 2016 and operation plan in 2017</w:t>
      </w:r>
    </w:p>
    <w:p w:rsidR="006038B5" w:rsidRPr="00B7566B" w:rsidRDefault="006038B5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The meeting </w:t>
      </w:r>
      <w:r w:rsidR="00003D48" w:rsidRPr="00B7566B">
        <w:rPr>
          <w:rFonts w:ascii="Arial" w:hAnsi="Arial" w:cs="Arial"/>
          <w:sz w:val="20"/>
          <w:szCs w:val="20"/>
          <w:lang w:val="en-US"/>
        </w:rPr>
        <w:t xml:space="preserve">voted to approve report on operations of Board of Directors in 2016 and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operation</w:t>
      </w:r>
      <w:r w:rsidR="00F91E98" w:rsidRPr="00B7566B">
        <w:rPr>
          <w:rFonts w:ascii="Arial" w:hAnsi="Arial" w:cs="Arial"/>
          <w:sz w:val="20"/>
          <w:szCs w:val="20"/>
          <w:lang w:val="en-US"/>
        </w:rPr>
        <w:t xml:space="preserve"> plan in 2017 with 100% of votes of approval. In particular: </w:t>
      </w:r>
    </w:p>
    <w:p w:rsidR="00F91E98" w:rsidRPr="00B7566B" w:rsidRDefault="00F91E98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-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Production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and business plan in </w:t>
      </w:r>
      <w:r w:rsidR="008F3805" w:rsidRPr="00B7566B">
        <w:rPr>
          <w:rFonts w:ascii="Arial" w:hAnsi="Arial" w:cs="Arial"/>
          <w:sz w:val="20"/>
          <w:szCs w:val="20"/>
          <w:lang w:val="en-US"/>
        </w:rPr>
        <w:t xml:space="preserve">2016: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1904"/>
      </w:tblGrid>
      <w:tr w:rsidR="0071078B" w:rsidRPr="009A45E0" w:rsidTr="009A45E0">
        <w:tc>
          <w:tcPr>
            <w:tcW w:w="3369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98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(VND million)</w:t>
            </w:r>
          </w:p>
        </w:tc>
        <w:tc>
          <w:tcPr>
            <w:tcW w:w="1985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 (VND million)</w:t>
            </w:r>
          </w:p>
        </w:tc>
        <w:tc>
          <w:tcPr>
            <w:tcW w:w="190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% compared to the plan</w:t>
            </w:r>
          </w:p>
        </w:tc>
      </w:tr>
      <w:tr w:rsidR="0071078B" w:rsidRPr="009A45E0" w:rsidTr="009A45E0">
        <w:tc>
          <w:tcPr>
            <w:tcW w:w="3369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(1)</w:t>
            </w:r>
          </w:p>
        </w:tc>
        <w:tc>
          <w:tcPr>
            <w:tcW w:w="1985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(2)</w:t>
            </w:r>
          </w:p>
        </w:tc>
        <w:tc>
          <w:tcPr>
            <w:tcW w:w="190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(3) = (2) + (1)</w:t>
            </w:r>
          </w:p>
        </w:tc>
      </w:tr>
      <w:tr w:rsidR="0071078B" w:rsidRPr="009A45E0" w:rsidTr="009A45E0">
        <w:tc>
          <w:tcPr>
            <w:tcW w:w="3369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Net revenue</w:t>
            </w:r>
          </w:p>
        </w:tc>
        <w:tc>
          <w:tcPr>
            <w:tcW w:w="198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270,000</w:t>
            </w:r>
          </w:p>
        </w:tc>
        <w:tc>
          <w:tcPr>
            <w:tcW w:w="1985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320,872</w:t>
            </w:r>
          </w:p>
        </w:tc>
        <w:tc>
          <w:tcPr>
            <w:tcW w:w="190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118.8 %</w:t>
            </w:r>
          </w:p>
        </w:tc>
      </w:tr>
      <w:tr w:rsidR="0071078B" w:rsidRPr="009A45E0" w:rsidTr="009A45E0">
        <w:tc>
          <w:tcPr>
            <w:tcW w:w="3369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Profit after tax</w:t>
            </w:r>
          </w:p>
        </w:tc>
        <w:tc>
          <w:tcPr>
            <w:tcW w:w="198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1985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2,057</w:t>
            </w:r>
          </w:p>
        </w:tc>
        <w:tc>
          <w:tcPr>
            <w:tcW w:w="190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102.9 %</w:t>
            </w:r>
          </w:p>
        </w:tc>
      </w:tr>
      <w:tr w:rsidR="0071078B" w:rsidRPr="009A45E0" w:rsidTr="009A45E0">
        <w:tc>
          <w:tcPr>
            <w:tcW w:w="3369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Undistributed profit after tax</w:t>
            </w:r>
          </w:p>
        </w:tc>
        <w:tc>
          <w:tcPr>
            <w:tcW w:w="198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1985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1,897</w:t>
            </w:r>
          </w:p>
        </w:tc>
        <w:tc>
          <w:tcPr>
            <w:tcW w:w="190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94.9 %</w:t>
            </w:r>
          </w:p>
        </w:tc>
      </w:tr>
      <w:tr w:rsidR="0071078B" w:rsidRPr="009A45E0" w:rsidTr="009A45E0">
        <w:tc>
          <w:tcPr>
            <w:tcW w:w="3369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Dividend payment</w:t>
            </w:r>
          </w:p>
        </w:tc>
        <w:tc>
          <w:tcPr>
            <w:tcW w:w="198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9%/ charter capital/ year</w:t>
            </w:r>
          </w:p>
        </w:tc>
        <w:tc>
          <w:tcPr>
            <w:tcW w:w="1985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 xml:space="preserve">Estimated at 9%/ charter </w:t>
            </w:r>
            <w:r w:rsidR="009A45E0" w:rsidRPr="009A45E0">
              <w:rPr>
                <w:rFonts w:ascii="Arial" w:hAnsi="Arial" w:cs="Arial"/>
                <w:sz w:val="20"/>
                <w:szCs w:val="20"/>
                <w:lang w:val="en-US"/>
              </w:rPr>
              <w:t>capital</w:t>
            </w: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/ year</w:t>
            </w:r>
          </w:p>
        </w:tc>
        <w:tc>
          <w:tcPr>
            <w:tcW w:w="1904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100 %</w:t>
            </w:r>
          </w:p>
        </w:tc>
      </w:tr>
    </w:tbl>
    <w:p w:rsidR="0071078B" w:rsidRPr="00B7566B" w:rsidRDefault="0071078B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2. Some financial indicators in 2017: </w:t>
      </w:r>
    </w:p>
    <w:p w:rsidR="0071078B" w:rsidRPr="00B7566B" w:rsidRDefault="0071078B" w:rsidP="00B7566B">
      <w:pPr>
        <w:spacing w:before="120" w:after="120"/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B7566B">
        <w:rPr>
          <w:rFonts w:ascii="Arial" w:hAnsi="Arial" w:cs="Arial"/>
          <w:i/>
          <w:sz w:val="20"/>
          <w:szCs w:val="20"/>
          <w:lang w:val="en-US"/>
        </w:rPr>
        <w:t>Unit: VND million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050"/>
        <w:gridCol w:w="2311"/>
        <w:gridCol w:w="2311"/>
      </w:tblGrid>
      <w:tr w:rsidR="0071078B" w:rsidRPr="009A45E0" w:rsidTr="009A45E0">
        <w:tc>
          <w:tcPr>
            <w:tcW w:w="570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050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in 2017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 in 2016</w:t>
            </w:r>
          </w:p>
        </w:tc>
      </w:tr>
      <w:tr w:rsidR="0071078B" w:rsidRPr="009A45E0" w:rsidTr="009A45E0">
        <w:tc>
          <w:tcPr>
            <w:tcW w:w="570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050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Total net revenue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320.872</w:t>
            </w:r>
          </w:p>
        </w:tc>
      </w:tr>
      <w:tr w:rsidR="0071078B" w:rsidRPr="009A45E0" w:rsidTr="009A45E0">
        <w:tc>
          <w:tcPr>
            <w:tcW w:w="570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050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Profit before tax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2.700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2.579</w:t>
            </w:r>
          </w:p>
        </w:tc>
      </w:tr>
      <w:tr w:rsidR="0071078B" w:rsidRPr="009A45E0" w:rsidTr="009A45E0">
        <w:tc>
          <w:tcPr>
            <w:tcW w:w="570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050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Undistributed profit after tax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2.160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1.897</w:t>
            </w:r>
          </w:p>
        </w:tc>
      </w:tr>
      <w:tr w:rsidR="0071078B" w:rsidRPr="009A45E0" w:rsidTr="009A45E0">
        <w:tc>
          <w:tcPr>
            <w:tcW w:w="570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050" w:type="dxa"/>
            <w:vAlign w:val="center"/>
          </w:tcPr>
          <w:p w:rsidR="0071078B" w:rsidRPr="009A45E0" w:rsidRDefault="0071078B" w:rsidP="009A45E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Dividend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9%/ charter capital</w:t>
            </w:r>
          </w:p>
        </w:tc>
        <w:tc>
          <w:tcPr>
            <w:tcW w:w="2311" w:type="dxa"/>
            <w:vAlign w:val="center"/>
          </w:tcPr>
          <w:p w:rsidR="0071078B" w:rsidRPr="009A45E0" w:rsidRDefault="0071078B" w:rsidP="009A45E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5E0">
              <w:rPr>
                <w:rFonts w:ascii="Arial" w:hAnsi="Arial" w:cs="Arial"/>
                <w:sz w:val="20"/>
                <w:szCs w:val="20"/>
                <w:lang w:val="en-US"/>
              </w:rPr>
              <w:t>9%/ charter capital</w:t>
            </w:r>
          </w:p>
        </w:tc>
      </w:tr>
    </w:tbl>
    <w:p w:rsidR="008F3805" w:rsidRPr="00B7566B" w:rsidRDefault="007872A3" w:rsidP="00B7566B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Article 5. A</w:t>
      </w:r>
      <w:r w:rsidR="0071078B" w:rsidRPr="00B7566B">
        <w:rPr>
          <w:rFonts w:ascii="Arial" w:hAnsi="Arial" w:cs="Arial"/>
          <w:b/>
          <w:sz w:val="20"/>
          <w:szCs w:val="20"/>
          <w:lang w:val="en-US"/>
        </w:rPr>
        <w:t xml:space="preserve">pprove </w:t>
      </w:r>
      <w:r w:rsidR="004B0605" w:rsidRPr="00B7566B">
        <w:rPr>
          <w:rFonts w:ascii="Arial" w:hAnsi="Arial" w:cs="Arial"/>
          <w:b/>
          <w:sz w:val="20"/>
          <w:szCs w:val="20"/>
          <w:lang w:val="en-US"/>
        </w:rPr>
        <w:t xml:space="preserve">dividend payment plan in </w:t>
      </w:r>
      <w:r w:rsidR="007B09FA" w:rsidRPr="00B7566B">
        <w:rPr>
          <w:rFonts w:ascii="Arial" w:hAnsi="Arial" w:cs="Arial"/>
          <w:b/>
          <w:sz w:val="20"/>
          <w:szCs w:val="20"/>
          <w:lang w:val="en-US"/>
        </w:rPr>
        <w:t xml:space="preserve">2016 </w:t>
      </w:r>
    </w:p>
    <w:p w:rsidR="007B09FA" w:rsidRPr="00B7566B" w:rsidRDefault="007B09FA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The meeting voted to approve the dividend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payment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plan in 2016 with 100% votes of approval. In particular: </w:t>
      </w:r>
    </w:p>
    <w:p w:rsidR="000D0ABC" w:rsidRPr="00B7566B" w:rsidRDefault="000D0ABC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>- Dividend ratio: 9%/ charter capital</w:t>
      </w:r>
    </w:p>
    <w:p w:rsidR="000D0ABC" w:rsidRPr="00B7566B" w:rsidRDefault="000D0ABC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>- Estimated time of closing list of shareholders receiv</w:t>
      </w:r>
      <w:r w:rsidR="001E2023" w:rsidRPr="00B7566B">
        <w:rPr>
          <w:rFonts w:ascii="Arial" w:hAnsi="Arial" w:cs="Arial"/>
          <w:sz w:val="20"/>
          <w:szCs w:val="20"/>
          <w:lang w:val="en-US"/>
        </w:rPr>
        <w:t>ing dividend in 2016: May 2017</w:t>
      </w:r>
    </w:p>
    <w:p w:rsidR="001E2023" w:rsidRPr="00B7566B" w:rsidRDefault="001E2023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- Payment method: In cash or by bank transfer </w:t>
      </w:r>
    </w:p>
    <w:p w:rsidR="001E2023" w:rsidRPr="00B7566B" w:rsidRDefault="001E2023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- Place of receiving dividend: </w:t>
      </w:r>
    </w:p>
    <w:p w:rsidR="001E2023" w:rsidRPr="00B7566B" w:rsidRDefault="001E2023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• For deposited securities: the owner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shall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fulfill procedures to receive dividends at </w:t>
      </w:r>
      <w:r w:rsidR="003E2D57" w:rsidRPr="00B7566B">
        <w:rPr>
          <w:rFonts w:ascii="Arial" w:hAnsi="Arial" w:cs="Arial"/>
          <w:sz w:val="20"/>
          <w:szCs w:val="20"/>
          <w:lang w:val="en-US"/>
        </w:rPr>
        <w:t xml:space="preserve">Depository Members where their depository account is opened. </w:t>
      </w:r>
    </w:p>
    <w:p w:rsidR="00CA079F" w:rsidRPr="00B7566B" w:rsidRDefault="00CA079F" w:rsidP="00B7566B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• For non-deposited securities: the owner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shall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fulfill procedures to receive dividends at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Accounting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Department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of Central Pharmaceutical Joint Stock Company no. 3 </w:t>
      </w:r>
      <w:r w:rsidRPr="00B7566B">
        <w:rPr>
          <w:rFonts w:ascii="Arial" w:hAnsi="Arial" w:cs="Arial"/>
          <w:i/>
          <w:sz w:val="20"/>
          <w:szCs w:val="20"/>
          <w:lang w:val="en-US"/>
        </w:rPr>
        <w:t xml:space="preserve">(at 115 Ngo Gia Tu – Hai Chau 1 Ward – </w:t>
      </w:r>
      <w:r w:rsidR="009A45E0">
        <w:rPr>
          <w:rFonts w:ascii="Arial" w:hAnsi="Arial" w:cs="Arial"/>
          <w:i/>
          <w:sz w:val="20"/>
          <w:szCs w:val="20"/>
          <w:lang w:val="en-US"/>
        </w:rPr>
        <w:t>H</w:t>
      </w:r>
      <w:r w:rsidRPr="00B7566B">
        <w:rPr>
          <w:rFonts w:ascii="Arial" w:hAnsi="Arial" w:cs="Arial"/>
          <w:i/>
          <w:sz w:val="20"/>
          <w:szCs w:val="20"/>
          <w:lang w:val="en-US"/>
        </w:rPr>
        <w:t>ai Chau District – Da Nang City)</w:t>
      </w:r>
    </w:p>
    <w:p w:rsidR="00CA079F" w:rsidRPr="00B7566B" w:rsidRDefault="00CA079F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- To assign Board of Directors to close the list and make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payment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in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accordance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with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regulations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and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provisions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approved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at the meeting. </w:t>
      </w:r>
    </w:p>
    <w:p w:rsidR="00E45DF7" w:rsidRPr="00B7566B" w:rsidRDefault="00E45DF7" w:rsidP="00B7566B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Article 6. To approve </w:t>
      </w:r>
      <w:r w:rsidR="009A45E0" w:rsidRPr="00B7566B">
        <w:rPr>
          <w:rFonts w:ascii="Arial" w:hAnsi="Arial" w:cs="Arial"/>
          <w:b/>
          <w:sz w:val="20"/>
          <w:szCs w:val="20"/>
          <w:lang w:val="en-US"/>
        </w:rPr>
        <w:t>submission</w:t>
      </w: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 on amendment of the company charter </w:t>
      </w:r>
    </w:p>
    <w:p w:rsidR="00E45DF7" w:rsidRPr="00B7566B" w:rsidRDefault="00E45DF7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lastRenderedPageBreak/>
        <w:t xml:space="preserve">The meeting voted to approve the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amendment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of the company charter with 100% of votes of approval</w:t>
      </w:r>
      <w:r w:rsidR="00B7566B" w:rsidRPr="00B7566B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7566B" w:rsidRPr="00B7566B" w:rsidRDefault="00B7566B" w:rsidP="00B7566B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Article 7. To approve reports on </w:t>
      </w:r>
      <w:r w:rsidR="009A45E0" w:rsidRPr="00B7566B">
        <w:rPr>
          <w:rFonts w:ascii="Arial" w:hAnsi="Arial" w:cs="Arial"/>
          <w:b/>
          <w:sz w:val="20"/>
          <w:szCs w:val="20"/>
          <w:lang w:val="en-US"/>
        </w:rPr>
        <w:t>payment</w:t>
      </w: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 of </w:t>
      </w:r>
      <w:r w:rsidR="009A45E0" w:rsidRPr="00B7566B">
        <w:rPr>
          <w:rFonts w:ascii="Arial" w:hAnsi="Arial" w:cs="Arial"/>
          <w:b/>
          <w:sz w:val="20"/>
          <w:szCs w:val="20"/>
          <w:lang w:val="en-US"/>
        </w:rPr>
        <w:t>remuneration</w:t>
      </w: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 and salary of Board of Directors, Board of Supervisors, </w:t>
      </w:r>
      <w:r w:rsidR="009A45E0" w:rsidRPr="00B7566B">
        <w:rPr>
          <w:rFonts w:ascii="Arial" w:hAnsi="Arial" w:cs="Arial"/>
          <w:b/>
          <w:sz w:val="20"/>
          <w:szCs w:val="20"/>
          <w:lang w:val="en-US"/>
        </w:rPr>
        <w:t>General</w:t>
      </w: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 Director and Secretary of the company in 2016 and plan </w:t>
      </w:r>
      <w:r w:rsidR="009A45E0" w:rsidRPr="00B7566B">
        <w:rPr>
          <w:rFonts w:ascii="Arial" w:hAnsi="Arial" w:cs="Arial"/>
          <w:b/>
          <w:sz w:val="20"/>
          <w:szCs w:val="20"/>
          <w:lang w:val="en-US"/>
        </w:rPr>
        <w:t>payment</w:t>
      </w: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 of </w:t>
      </w:r>
      <w:r w:rsidR="009A45E0" w:rsidRPr="00B7566B">
        <w:rPr>
          <w:rFonts w:ascii="Arial" w:hAnsi="Arial" w:cs="Arial"/>
          <w:b/>
          <w:sz w:val="20"/>
          <w:szCs w:val="20"/>
          <w:lang w:val="en-US"/>
        </w:rPr>
        <w:t>remuneration</w:t>
      </w: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 and salary of Board of Directors, Board of Supervisors, </w:t>
      </w:r>
      <w:r w:rsidR="009A45E0" w:rsidRPr="00B7566B">
        <w:rPr>
          <w:rFonts w:ascii="Arial" w:hAnsi="Arial" w:cs="Arial"/>
          <w:b/>
          <w:sz w:val="20"/>
          <w:szCs w:val="20"/>
          <w:lang w:val="en-US"/>
        </w:rPr>
        <w:t>General</w:t>
      </w: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 Director and Secretary of the company in 2017 </w:t>
      </w:r>
    </w:p>
    <w:p w:rsidR="00B7566B" w:rsidRPr="00B7566B" w:rsidRDefault="00B7566B" w:rsidP="00B7566B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B7566B">
        <w:rPr>
          <w:rFonts w:ascii="Arial" w:hAnsi="Arial" w:cs="Arial"/>
          <w:b/>
          <w:sz w:val="20"/>
          <w:szCs w:val="20"/>
          <w:lang w:val="en-US"/>
        </w:rPr>
        <w:t xml:space="preserve">Article 9. Execution provisions </w:t>
      </w:r>
    </w:p>
    <w:p w:rsidR="00B7566B" w:rsidRPr="00B7566B" w:rsidRDefault="00B7566B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1. This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resolution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has been approved at 2017 Annual General Meeting of Shareholders of Central Pharmaceutical Joint Stock Company no. 3, the session on April 24, 2017. </w:t>
      </w:r>
    </w:p>
    <w:p w:rsidR="00B7566B" w:rsidRPr="00B7566B" w:rsidRDefault="00B7566B" w:rsidP="00B7566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566B">
        <w:rPr>
          <w:rFonts w:ascii="Arial" w:hAnsi="Arial" w:cs="Arial"/>
          <w:sz w:val="20"/>
          <w:szCs w:val="20"/>
          <w:lang w:val="en-US"/>
        </w:rPr>
        <w:t xml:space="preserve">2. This resolution shall take effect from April 24, 2017 after being approved by 100% of votes. Members of Board of Directors, Board of Management, Board of Supervisors and all shareholders shall implement this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resolution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under their power, functions and tasks in accordance with legal </w:t>
      </w:r>
      <w:r w:rsidR="009A45E0" w:rsidRPr="00B7566B">
        <w:rPr>
          <w:rFonts w:ascii="Arial" w:hAnsi="Arial" w:cs="Arial"/>
          <w:sz w:val="20"/>
          <w:szCs w:val="20"/>
          <w:lang w:val="en-US"/>
        </w:rPr>
        <w:t>regulations</w:t>
      </w:r>
      <w:r w:rsidRPr="00B7566B">
        <w:rPr>
          <w:rFonts w:ascii="Arial" w:hAnsi="Arial" w:cs="Arial"/>
          <w:sz w:val="20"/>
          <w:szCs w:val="20"/>
          <w:lang w:val="en-US"/>
        </w:rPr>
        <w:t xml:space="preserve"> and charter of Central Pharmaceutical Joint Stock Company no. 3. </w:t>
      </w:r>
    </w:p>
    <w:sectPr w:rsidR="00B7566B" w:rsidRPr="00B7566B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E7"/>
    <w:rsid w:val="00003D48"/>
    <w:rsid w:val="000A35D5"/>
    <w:rsid w:val="000D0ABC"/>
    <w:rsid w:val="0015742A"/>
    <w:rsid w:val="001E2023"/>
    <w:rsid w:val="003E2D57"/>
    <w:rsid w:val="00426558"/>
    <w:rsid w:val="0047204C"/>
    <w:rsid w:val="004A4E39"/>
    <w:rsid w:val="004B0605"/>
    <w:rsid w:val="006038B5"/>
    <w:rsid w:val="0071078B"/>
    <w:rsid w:val="007872A3"/>
    <w:rsid w:val="007B09FA"/>
    <w:rsid w:val="008801E7"/>
    <w:rsid w:val="008F3805"/>
    <w:rsid w:val="009A45E0"/>
    <w:rsid w:val="00A73DE7"/>
    <w:rsid w:val="00B7566B"/>
    <w:rsid w:val="00BD322E"/>
    <w:rsid w:val="00CA079F"/>
    <w:rsid w:val="00CE390D"/>
    <w:rsid w:val="00E45DF7"/>
    <w:rsid w:val="00F91E98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95CDD-E6C1-4D05-8EE8-D99149DC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2017-05-08T02:36:00Z</dcterms:created>
  <dcterms:modified xsi:type="dcterms:W3CDTF">2017-05-08T02:36:00Z</dcterms:modified>
</cp:coreProperties>
</file>